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D0BF5" w:rsidRDefault="003C4422" w:rsidP="00686943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554FFA" w:rsidP="00A724E5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AV204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554FFA" w:rsidP="00A724E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554FFA" w:rsidP="00554FFA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554FFA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工程、社会与职业伦理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554FFA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Engineering</w:t>
            </w:r>
            <w:r>
              <w:rPr>
                <w:color w:val="00B050"/>
              </w:rPr>
              <w:t>, Society and Professional Ethics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1D0BF5" w:rsidP="00823ACC">
            <w:pPr>
              <w:jc w:val="center"/>
              <w:rPr>
                <w:color w:val="00B050"/>
              </w:rPr>
            </w:pP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AE6C69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54FFA" w:rsidP="00554FFA">
            <w:pPr>
              <w:jc w:val="left"/>
            </w:pPr>
            <w:r>
              <w:rPr>
                <w:rFonts w:hint="eastAsia"/>
              </w:rPr>
              <w:t>航空航天学院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7C626D">
            <w:pPr>
              <w:jc w:val="left"/>
            </w:pP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DC5CB8" w:rsidP="007C626D">
            <w:pPr>
              <w:jc w:val="center"/>
            </w:pPr>
            <w:r>
              <w:t>黄丹、周翔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322C5E" w:rsidP="00DC5CB8">
            <w:pPr>
              <w:ind w:firstLine="420"/>
            </w:pPr>
            <w:r w:rsidRPr="00322C5E">
              <w:rPr>
                <w:rFonts w:hint="eastAsia"/>
              </w:rPr>
              <w:t>此课程是航空航天专业的专业教育课程。通过教学，学生应</w:t>
            </w:r>
            <w:r w:rsidR="00554FFA">
              <w:rPr>
                <w:rFonts w:hint="eastAsia"/>
              </w:rPr>
              <w:t>了解并认识工程与社会</w:t>
            </w:r>
            <w:r w:rsidR="00554FFA" w:rsidRPr="004E7885">
              <w:rPr>
                <w:rFonts w:hint="eastAsia"/>
              </w:rPr>
              <w:t>的关系</w:t>
            </w:r>
            <w:r w:rsidR="00554FFA">
              <w:rPr>
                <w:rFonts w:hint="eastAsia"/>
              </w:rPr>
              <w:t>，并掌握</w:t>
            </w:r>
            <w:r w:rsidR="00554FFA" w:rsidRPr="004E7885">
              <w:rPr>
                <w:rFonts w:hint="eastAsia"/>
              </w:rPr>
              <w:t>工程设计的基本概念和一般流程</w:t>
            </w:r>
            <w:r w:rsidR="005B1A9C">
              <w:rPr>
                <w:rFonts w:hint="eastAsia"/>
              </w:rPr>
              <w:t>，了解工程经济学的相关概念</w:t>
            </w:r>
            <w:r w:rsidRPr="00322C5E">
              <w:rPr>
                <w:rFonts w:hint="eastAsia"/>
              </w:rPr>
              <w:t>。</w:t>
            </w:r>
            <w:r w:rsidR="005B1A9C">
              <w:rPr>
                <w:rFonts w:hint="eastAsia"/>
              </w:rPr>
              <w:t>此外，</w:t>
            </w:r>
            <w:r w:rsidR="005B1A9C" w:rsidRPr="005B1A9C">
              <w:t>课程探讨工程伦理的基本概念、基本理论问题</w:t>
            </w:r>
            <w:r w:rsidR="005B1A9C" w:rsidRPr="005B1A9C">
              <w:t>,</w:t>
            </w:r>
            <w:r w:rsidR="005B1A9C" w:rsidRPr="005B1A9C">
              <w:t>以及工程实践过程中人们将要面对的共性伦理问题</w:t>
            </w:r>
            <w:r w:rsidR="005B1A9C">
              <w:t>，</w:t>
            </w:r>
            <w:r w:rsidR="005B1A9C" w:rsidRPr="005B1A9C">
              <w:t>掌握具体工程领域的伦理规范要求</w:t>
            </w:r>
            <w:r w:rsidR="005B1A9C">
              <w:t>，</w:t>
            </w:r>
            <w:r w:rsidR="005B1A9C" w:rsidRPr="005B1A9C">
              <w:t>以及处理工程伦理问题的基本原则。</w:t>
            </w:r>
          </w:p>
          <w:p w:rsidR="00DC5CB8" w:rsidRPr="00322C5E" w:rsidRDefault="00DC5CB8" w:rsidP="00DC5CB8">
            <w:pPr>
              <w:ind w:firstLine="420"/>
            </w:pP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Default="00322C5E" w:rsidP="00DC5CB8">
            <w:pPr>
              <w:ind w:firstLine="480"/>
              <w:jc w:val="left"/>
              <w:rPr>
                <w:sz w:val="24"/>
              </w:rPr>
            </w:pPr>
            <w:r w:rsidRPr="00DC5CB8">
              <w:rPr>
                <w:sz w:val="24"/>
              </w:rPr>
              <w:t>This course is for students majored in aerospace engin</w:t>
            </w:r>
            <w:r w:rsidR="00E9101A" w:rsidRPr="00DC5CB8">
              <w:rPr>
                <w:sz w:val="24"/>
              </w:rPr>
              <w:t xml:space="preserve">eering. The students will </w:t>
            </w:r>
            <w:r w:rsidR="00E9101A" w:rsidRPr="00DC5CB8">
              <w:rPr>
                <w:rFonts w:hint="eastAsia"/>
                <w:sz w:val="24"/>
              </w:rPr>
              <w:t>understand the relationship between engineering and society</w:t>
            </w:r>
            <w:r w:rsidRPr="00DC5CB8">
              <w:rPr>
                <w:sz w:val="24"/>
              </w:rPr>
              <w:t>.</w:t>
            </w:r>
            <w:r w:rsidR="00E9101A" w:rsidRPr="00DC5CB8">
              <w:rPr>
                <w:rFonts w:hint="eastAsia"/>
                <w:sz w:val="24"/>
              </w:rPr>
              <w:t xml:space="preserve"> </w:t>
            </w:r>
            <w:r w:rsidR="00E9101A" w:rsidRPr="00DC5CB8">
              <w:rPr>
                <w:sz w:val="24"/>
              </w:rPr>
              <w:t>T</w:t>
            </w:r>
            <w:r w:rsidR="00E9101A" w:rsidRPr="00DC5CB8">
              <w:rPr>
                <w:rFonts w:hint="eastAsia"/>
                <w:sz w:val="24"/>
              </w:rPr>
              <w:t>hey will be asked to master the standard process of engineering design and the engineering economics. Furthermore, engineering ethics problems will be discussed in this course, including basic concepts and</w:t>
            </w:r>
            <w:r w:rsidR="00DC5CB8" w:rsidRPr="00DC5CB8">
              <w:rPr>
                <w:rFonts w:hint="eastAsia"/>
                <w:sz w:val="24"/>
              </w:rPr>
              <w:t xml:space="preserve"> process of solving ethical problems.</w:t>
            </w:r>
          </w:p>
          <w:p w:rsidR="00DC5CB8" w:rsidRPr="00DC5CB8" w:rsidRDefault="00DC5CB8" w:rsidP="00DC5CB8">
            <w:pPr>
              <w:ind w:firstLine="480"/>
              <w:jc w:val="left"/>
              <w:rPr>
                <w:sz w:val="24"/>
              </w:rPr>
            </w:pP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4E7885">
              <w:rPr>
                <w:rFonts w:hint="eastAsia"/>
              </w:rPr>
              <w:t>了解并认识工程与社会</w:t>
            </w:r>
            <w:r w:rsidR="004E7885" w:rsidRPr="004E7885">
              <w:rPr>
                <w:rFonts w:hint="eastAsia"/>
              </w:rPr>
              <w:t>的关系（</w:t>
            </w:r>
            <w:r w:rsidR="004E7885" w:rsidRPr="004E7885">
              <w:rPr>
                <w:rFonts w:hint="eastAsia"/>
              </w:rPr>
              <w:t>A3</w:t>
            </w:r>
            <w:r w:rsidR="004E7885" w:rsidRPr="004E7885">
              <w:rPr>
                <w:rFonts w:hint="eastAsia"/>
              </w:rPr>
              <w:t>）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4E7885" w:rsidRPr="004E7885">
              <w:rPr>
                <w:rFonts w:hint="eastAsia"/>
              </w:rPr>
              <w:t>了解工程设计的基本概念和一般流程（</w:t>
            </w:r>
            <w:r w:rsidR="004E7885" w:rsidRPr="004E7885">
              <w:rPr>
                <w:rFonts w:hint="eastAsia"/>
              </w:rPr>
              <w:t>A5.1</w:t>
            </w:r>
            <w:r w:rsidR="004E7885" w:rsidRPr="004E7885">
              <w:rPr>
                <w:rFonts w:hint="eastAsia"/>
              </w:rPr>
              <w:t>，</w:t>
            </w:r>
            <w:r w:rsidR="004E7885" w:rsidRPr="004E7885">
              <w:rPr>
                <w:rFonts w:hint="eastAsia"/>
              </w:rPr>
              <w:t>A5.4</w:t>
            </w:r>
            <w:r w:rsidR="004E7885" w:rsidRPr="004E7885">
              <w:rPr>
                <w:rFonts w:hint="eastAsia"/>
              </w:rPr>
              <w:t>）</w:t>
            </w:r>
          </w:p>
          <w:p w:rsidR="00823ACC" w:rsidRDefault="00823ACC" w:rsidP="007C62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4E7885" w:rsidRPr="004E7885">
              <w:rPr>
                <w:rFonts w:hint="eastAsia"/>
              </w:rPr>
              <w:t>通过课程项目的实践，培育认识和发现问题的能力（</w:t>
            </w:r>
            <w:r w:rsidR="004E7885" w:rsidRPr="004E7885">
              <w:rPr>
                <w:rFonts w:hint="eastAsia"/>
              </w:rPr>
              <w:t>B2</w:t>
            </w:r>
            <w:r w:rsidR="004E7885" w:rsidRPr="004E7885">
              <w:rPr>
                <w:rFonts w:hint="eastAsia"/>
              </w:rPr>
              <w:t>，</w:t>
            </w:r>
            <w:r w:rsidR="004E7885" w:rsidRPr="004E7885">
              <w:rPr>
                <w:rFonts w:hint="eastAsia"/>
              </w:rPr>
              <w:t>C2</w:t>
            </w:r>
            <w:r w:rsidR="004E7885" w:rsidRPr="004E7885">
              <w:rPr>
                <w:rFonts w:hint="eastAsia"/>
              </w:rPr>
              <w:t>）</w:t>
            </w:r>
          </w:p>
          <w:p w:rsidR="005B1A9C" w:rsidRPr="005B1A9C" w:rsidRDefault="005B1A9C" w:rsidP="005B1A9C">
            <w:r>
              <w:rPr>
                <w:rFonts w:hint="eastAsia"/>
              </w:rPr>
              <w:t xml:space="preserve">4. </w:t>
            </w:r>
            <w:r w:rsidR="00E9101A">
              <w:rPr>
                <w:rFonts w:hint="eastAsia"/>
              </w:rPr>
              <w:t xml:space="preserve"> </w:t>
            </w:r>
            <w:r w:rsidRPr="005B1A9C">
              <w:t>深入理解工程伦理相关概念和理论，培养</w:t>
            </w:r>
            <w:r w:rsidR="00E9101A">
              <w:t>学生的工程伦理意识</w:t>
            </w:r>
            <w:r w:rsidR="00E9101A">
              <w:rPr>
                <w:rFonts w:hint="eastAsia"/>
              </w:rPr>
              <w:t>(C5)</w:t>
            </w:r>
          </w:p>
          <w:p w:rsidR="005B1A9C" w:rsidRDefault="005B1A9C" w:rsidP="007C626D">
            <w:r w:rsidRPr="005B1A9C">
              <w:rPr>
                <w:rFonts w:hint="eastAsia"/>
              </w:rPr>
              <w:t xml:space="preserve">5. </w:t>
            </w:r>
            <w:r w:rsidR="00E9101A">
              <w:rPr>
                <w:rFonts w:hint="eastAsia"/>
              </w:rPr>
              <w:t xml:space="preserve"> </w:t>
            </w:r>
            <w:r w:rsidR="00E9101A">
              <w:t>全面提高工程伦理的决策能力，能够解决工程实践中的复杂伦理问题</w:t>
            </w:r>
            <w:r w:rsidR="00E9101A">
              <w:rPr>
                <w:rFonts w:hint="eastAsia"/>
              </w:rPr>
              <w:t>(B2, B3)</w:t>
            </w:r>
          </w:p>
          <w:p w:rsidR="00A16565" w:rsidRPr="00A16565" w:rsidRDefault="00A16565" w:rsidP="00A16565"/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135619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DC5CB8" w:rsidTr="00784A11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CE638F" w:rsidTr="00571DAA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工程与社会：介绍工程技术发展史、工程的定义、工程专业领域、网络和系统</w:t>
                  </w:r>
                </w:p>
              </w:tc>
              <w:tc>
                <w:tcPr>
                  <w:tcW w:w="81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571DAA" w:rsidRDefault="00124E8A" w:rsidP="00124E8A">
                  <w:pPr>
                    <w:jc w:val="left"/>
                  </w:pPr>
                  <w:r>
                    <w:rPr>
                      <w:rFonts w:hint="eastAsia"/>
                    </w:rPr>
                    <w:t>1.</w:t>
                  </w:r>
                  <w:r>
                    <w:t xml:space="preserve"> </w:t>
                  </w:r>
                  <w:r w:rsidR="00571DAA">
                    <w:rPr>
                      <w:rFonts w:hint="eastAsia"/>
                    </w:rPr>
                    <w:t>安排一次大作业，就当前热点技术开展文献调研，阐述其基本原理和潜在应用，并探讨该技术对人类社会的影响。</w:t>
                  </w:r>
                </w:p>
                <w:p w:rsidR="00124E8A" w:rsidRPr="00124E8A" w:rsidRDefault="00124E8A" w:rsidP="00124E8A">
                  <w:pPr>
                    <w:jc w:val="left"/>
                  </w:pPr>
                  <w:r>
                    <w:rPr>
                      <w:rFonts w:hint="eastAsia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自学《</w:t>
                  </w:r>
                  <w:r w:rsidRPr="00124E8A">
                    <w:rPr>
                      <w:i/>
                      <w:iCs/>
                    </w:rPr>
                    <w:t>Systems engineering principles and practice</w:t>
                  </w:r>
                  <w:r>
                    <w:rPr>
                      <w:rFonts w:hint="eastAsia"/>
                    </w:rPr>
                    <w:t>》一书，每位同学在课上作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分钟的学习讲座。</w:t>
                  </w:r>
                </w:p>
                <w:p w:rsidR="00124E8A" w:rsidRDefault="00124E8A" w:rsidP="00124E8A">
                  <w:pPr>
                    <w:jc w:val="left"/>
                  </w:pPr>
                </w:p>
                <w:p w:rsidR="00124E8A" w:rsidRPr="001D0BF5" w:rsidRDefault="00124E8A" w:rsidP="00571DAA">
                  <w:pPr>
                    <w:jc w:val="center"/>
                  </w:pPr>
                </w:p>
              </w:tc>
              <w:tc>
                <w:tcPr>
                  <w:tcW w:w="1146" w:type="dxa"/>
                  <w:vMerge w:val="restart"/>
                  <w:vAlign w:val="center"/>
                </w:tcPr>
                <w:p w:rsidR="00571DAA" w:rsidRPr="00571DAA" w:rsidRDefault="00571DAA" w:rsidP="00571DAA">
                  <w:pPr>
                    <w:jc w:val="center"/>
                  </w:pPr>
                  <w:r>
                    <w:rPr>
                      <w:rFonts w:hint="eastAsia"/>
                    </w:rPr>
                    <w:t>要求每位学生独立完成文献调研，并提交一份总结报告。</w:t>
                  </w:r>
                </w:p>
              </w:tc>
              <w:tc>
                <w:tcPr>
                  <w:tcW w:w="1162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大作业</w:t>
                  </w:r>
                </w:p>
              </w:tc>
            </w:tr>
            <w:tr w:rsidR="00CE638F" w:rsidTr="00784A11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工程思考：介绍思维模式、概念树、工程设计、解决工程问题的框架、</w:t>
                  </w:r>
                  <w:r w:rsidR="00124E8A">
                    <w:rPr>
                      <w:rFonts w:hint="eastAsia"/>
                    </w:rPr>
                    <w:t>基于模型的工程设计、</w:t>
                  </w:r>
                  <w:r>
                    <w:rPr>
                      <w:rFonts w:hint="eastAsia"/>
                    </w:rPr>
                    <w:t>失效分析</w:t>
                  </w:r>
                </w:p>
              </w:tc>
              <w:tc>
                <w:tcPr>
                  <w:tcW w:w="81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大作业</w:t>
                  </w:r>
                  <w:r w:rsidR="00124E8A">
                    <w:rPr>
                      <w:rFonts w:hint="eastAsia"/>
                    </w:rPr>
                    <w:t>+</w:t>
                  </w:r>
                  <w:r w:rsidR="00124E8A">
                    <w:br/>
                  </w:r>
                  <w:r w:rsidR="00124E8A">
                    <w:rPr>
                      <w:rFonts w:hint="eastAsia"/>
                    </w:rPr>
                    <w:t>期末考试</w:t>
                  </w:r>
                </w:p>
              </w:tc>
            </w:tr>
            <w:tr w:rsidR="00CE638F" w:rsidTr="00784A11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571DAA" w:rsidRPr="004E7885" w:rsidRDefault="00571DAA" w:rsidP="0009492B">
                  <w:pPr>
                    <w:jc w:val="center"/>
                  </w:pPr>
                  <w:r>
                    <w:rPr>
                      <w:rFonts w:hint="eastAsia"/>
                    </w:rPr>
                    <w:t>工程经济学：介绍工程经济学原理、成本概念、成本估算方法、资金的时间价值、评估单个项目的一般方法、多方案的选择</w:t>
                  </w:r>
                  <w:r w:rsidR="00124E8A">
                    <w:rPr>
                      <w:rFonts w:hint="eastAsia"/>
                    </w:rPr>
                    <w:t>、折旧和替换分析</w:t>
                  </w:r>
                </w:p>
              </w:tc>
              <w:tc>
                <w:tcPr>
                  <w:tcW w:w="816" w:type="dxa"/>
                  <w:vAlign w:val="center"/>
                </w:tcPr>
                <w:p w:rsidR="00571DAA" w:rsidRPr="001D0BF5" w:rsidRDefault="00124E8A" w:rsidP="00686943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334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大作业</w:t>
                  </w:r>
                  <w:r w:rsidR="00124E8A">
                    <w:rPr>
                      <w:rFonts w:hint="eastAsia"/>
                    </w:rPr>
                    <w:t>+</w:t>
                  </w:r>
                  <w:r w:rsidR="00124E8A">
                    <w:br/>
                  </w:r>
                  <w:r w:rsidR="00124E8A">
                    <w:rPr>
                      <w:rFonts w:hint="eastAsia"/>
                    </w:rPr>
                    <w:t>期末考试</w:t>
                  </w:r>
                </w:p>
              </w:tc>
            </w:tr>
            <w:tr w:rsidR="00DC5CB8" w:rsidTr="00784A11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工程伦理的选择困境</w:t>
                  </w:r>
                </w:p>
              </w:tc>
              <w:tc>
                <w:tcPr>
                  <w:tcW w:w="81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学生就一个大型工程中的相关伦理问题展开深入</w:t>
                  </w:r>
                  <w:r w:rsidR="00CE638F">
                    <w:t>研究</w:t>
                  </w:r>
                  <w:r w:rsidR="00CE638F">
                    <w:rPr>
                      <w:rFonts w:hint="eastAsia"/>
                    </w:rPr>
                    <w:t>，并提出可能的不同解决方案</w:t>
                  </w:r>
                  <w:r w:rsidR="0084226B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14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DC5CB8" w:rsidRPr="001D0BF5" w:rsidRDefault="00CE638F" w:rsidP="00686943">
                  <w:pPr>
                    <w:jc w:val="center"/>
                  </w:pPr>
                  <w:r>
                    <w:t>课题讨论与随堂测试</w:t>
                  </w:r>
                </w:p>
              </w:tc>
            </w:tr>
            <w:tr w:rsidR="00DC5CB8" w:rsidTr="00784A11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工程实践与社会实验</w:t>
                  </w:r>
                </w:p>
              </w:tc>
              <w:tc>
                <w:tcPr>
                  <w:tcW w:w="81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DC5CB8" w:rsidRPr="001D0BF5" w:rsidRDefault="0084226B" w:rsidP="00686943">
                  <w:pPr>
                    <w:jc w:val="center"/>
                  </w:pPr>
                  <w:r>
                    <w:t>课堂讨论</w:t>
                  </w:r>
                </w:p>
              </w:tc>
            </w:tr>
            <w:tr w:rsidR="0084226B" w:rsidTr="00784A11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工程中安全与风险伦理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B77925">
                  <w:pPr>
                    <w:jc w:val="center"/>
                  </w:pPr>
                  <w:r>
                    <w:t>课堂讨论</w:t>
                  </w:r>
                </w:p>
              </w:tc>
            </w:tr>
            <w:tr w:rsidR="0084226B" w:rsidTr="00784A11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工程中诚信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随堂测试</w:t>
                  </w:r>
                </w:p>
              </w:tc>
            </w:tr>
            <w:tr w:rsidR="0084226B" w:rsidTr="00784A11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工程与环境伦理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B77925">
                  <w:pPr>
                    <w:jc w:val="center"/>
                  </w:pPr>
                  <w:r>
                    <w:t>课堂讨论</w:t>
                  </w:r>
                </w:p>
              </w:tc>
            </w:tr>
            <w:tr w:rsidR="0084226B" w:rsidTr="00784A11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84226B" w:rsidRPr="001D0BF5" w:rsidRDefault="004D5480" w:rsidP="00686943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4D5480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1355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B77925">
                  <w:pPr>
                    <w:jc w:val="center"/>
                  </w:pP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DC5A09" w:rsidP="00686943">
            <w:pPr>
              <w:jc w:val="left"/>
            </w:pPr>
            <w:r w:rsidRPr="00DC5A09">
              <w:rPr>
                <w:rFonts w:hint="eastAsia"/>
              </w:rPr>
              <w:t>作业</w:t>
            </w:r>
            <w:r w:rsidR="00140778">
              <w:rPr>
                <w:rFonts w:hint="eastAsia"/>
              </w:rPr>
              <w:t xml:space="preserve"> 40%</w:t>
            </w:r>
          </w:p>
          <w:p w:rsidR="00140778" w:rsidRDefault="004D5480" w:rsidP="00686943">
            <w:pPr>
              <w:jc w:val="left"/>
            </w:pPr>
            <w:r>
              <w:rPr>
                <w:rFonts w:hint="eastAsia"/>
              </w:rPr>
              <w:t>期末考试</w:t>
            </w:r>
            <w:r w:rsidR="00140778">
              <w:rPr>
                <w:rFonts w:hint="eastAsia"/>
              </w:rPr>
              <w:t xml:space="preserve"> 40%</w:t>
            </w:r>
          </w:p>
          <w:p w:rsidR="00140778" w:rsidRPr="001D0BF5" w:rsidRDefault="00140778" w:rsidP="00686943">
            <w:pPr>
              <w:jc w:val="left"/>
            </w:pPr>
            <w:r>
              <w:rPr>
                <w:rFonts w:hint="eastAsia"/>
              </w:rPr>
              <w:t>课堂参与</w:t>
            </w:r>
            <w:r>
              <w:rPr>
                <w:rFonts w:hint="eastAsia"/>
              </w:rPr>
              <w:t xml:space="preserve"> 20%</w:t>
            </w:r>
          </w:p>
        </w:tc>
      </w:tr>
      <w:tr w:rsidR="000A548F" w:rsidRPr="00440D80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DC5A09" w:rsidRDefault="00DC5A09" w:rsidP="00DC5A09">
            <w:pPr>
              <w:jc w:val="left"/>
            </w:pPr>
            <w:r w:rsidRPr="00DC5A09">
              <w:t>[1] Larry D. Rosen, Nancy A. Cheever, L. Mark Carrier, The Wiley Handbook of Psychology, Technology, and Society, Malden, MA : Wiley Blackwell.</w:t>
            </w:r>
          </w:p>
          <w:p w:rsidR="00124E8A" w:rsidRDefault="00DC5A09" w:rsidP="009B276A">
            <w:pPr>
              <w:jc w:val="left"/>
            </w:pPr>
            <w:r w:rsidRPr="00DC5A09">
              <w:rPr>
                <w:rFonts w:hint="eastAsia"/>
              </w:rPr>
              <w:t>[2]</w:t>
            </w:r>
            <w:r w:rsidR="009B276A">
              <w:t xml:space="preserve"> </w:t>
            </w:r>
            <w:r w:rsidR="009B276A" w:rsidRPr="009B276A">
              <w:t>William G.</w:t>
            </w:r>
            <w:r w:rsidR="009B276A">
              <w:t xml:space="preserve"> </w:t>
            </w:r>
            <w:r w:rsidR="009B276A" w:rsidRPr="009B276A">
              <w:t>Sullivan</w:t>
            </w:r>
            <w:r w:rsidR="00440D80">
              <w:t>,</w:t>
            </w:r>
            <w:r w:rsidR="009B276A">
              <w:rPr>
                <w:rFonts w:hint="eastAsia"/>
              </w:rPr>
              <w:t xml:space="preserve"> Elin M.</w:t>
            </w:r>
            <w:r w:rsidR="009B276A">
              <w:t xml:space="preserve"> </w:t>
            </w:r>
            <w:r w:rsidR="009B276A" w:rsidRPr="009B276A">
              <w:rPr>
                <w:rFonts w:hint="eastAsia"/>
              </w:rPr>
              <w:t>Wicks</w:t>
            </w:r>
            <w:r w:rsidR="009B276A">
              <w:t xml:space="preserve">, </w:t>
            </w:r>
            <w:r w:rsidR="009B276A">
              <w:rPr>
                <w:rFonts w:hint="eastAsia"/>
              </w:rPr>
              <w:t>James T.</w:t>
            </w:r>
            <w:r w:rsidR="009B276A">
              <w:t xml:space="preserve"> </w:t>
            </w:r>
            <w:r w:rsidR="009B276A" w:rsidRPr="009B276A">
              <w:rPr>
                <w:rFonts w:hint="eastAsia"/>
              </w:rPr>
              <w:t>Luxhoj</w:t>
            </w:r>
            <w:r w:rsidR="009B276A">
              <w:t>,</w:t>
            </w:r>
            <w:r w:rsidR="00440D80">
              <w:t xml:space="preserve"> Engineering E</w:t>
            </w:r>
            <w:r w:rsidR="00440D80" w:rsidRPr="00440D80">
              <w:t>conomy</w:t>
            </w:r>
            <w:r w:rsidR="00440D80">
              <w:t>,</w:t>
            </w:r>
            <w:r w:rsidR="009B276A">
              <w:t xml:space="preserve"> </w:t>
            </w:r>
            <w:r w:rsidR="009B276A" w:rsidRPr="009B276A">
              <w:t>N.J.: Pearson/Prentice Hall</w:t>
            </w:r>
          </w:p>
          <w:p w:rsidR="00CE638F" w:rsidRDefault="00CE638F" w:rsidP="00CE638F">
            <w:pPr>
              <w:jc w:val="left"/>
            </w:pPr>
            <w:r w:rsidRPr="00DC5A09">
              <w:rPr>
                <w:rFonts w:hint="eastAsia"/>
              </w:rPr>
              <w:t>[</w:t>
            </w:r>
            <w:r w:rsidR="00124E8A">
              <w:rPr>
                <w:rFonts w:hint="eastAsia"/>
              </w:rPr>
              <w:t>3</w:t>
            </w:r>
            <w:r w:rsidRPr="00DC5A09"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 Mike Martin</w:t>
            </w:r>
            <w:r>
              <w:t>,</w:t>
            </w:r>
            <w:r>
              <w:rPr>
                <w:rFonts w:hint="eastAsia"/>
              </w:rPr>
              <w:t xml:space="preserve"> Roland Schinzinger, Introduction to </w:t>
            </w:r>
            <w:r>
              <w:t xml:space="preserve">Engineering </w:t>
            </w:r>
            <w:r>
              <w:rPr>
                <w:rFonts w:hint="eastAsia"/>
              </w:rPr>
              <w:t>Ethics</w:t>
            </w:r>
            <w:r>
              <w:t xml:space="preserve">, </w:t>
            </w:r>
            <w:r>
              <w:rPr>
                <w:rFonts w:hint="eastAsia"/>
              </w:rPr>
              <w:t>McGraw-Hill</w:t>
            </w:r>
          </w:p>
          <w:p w:rsidR="00124E8A" w:rsidRDefault="00124E8A" w:rsidP="00CE638F">
            <w:pPr>
              <w:jc w:val="left"/>
            </w:pPr>
            <w:r>
              <w:t xml:space="preserve">[4] </w:t>
            </w:r>
            <w:r w:rsidRPr="00124E8A">
              <w:t xml:space="preserve">Kossiakoff A, Sweet W N, Seymour S J, et al. </w:t>
            </w:r>
            <w:r w:rsidRPr="00124E8A">
              <w:rPr>
                <w:i/>
                <w:iCs/>
              </w:rPr>
              <w:t>Systems engineering principles and practice</w:t>
            </w:r>
            <w:r w:rsidRPr="00124E8A">
              <w:t>. John Wiley &amp; Sons, 2011.</w:t>
            </w:r>
          </w:p>
          <w:p w:rsidR="00CE638F" w:rsidRDefault="00CE638F" w:rsidP="009B276A">
            <w:pPr>
              <w:jc w:val="left"/>
            </w:pPr>
          </w:p>
          <w:p w:rsidR="00CE638F" w:rsidRPr="00DC5A09" w:rsidRDefault="00CE638F" w:rsidP="009B276A">
            <w:pPr>
              <w:jc w:val="left"/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E718CC">
            <w:pPr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E718CC">
            <w:pPr>
              <w:rPr>
                <w:color w:val="00B050"/>
              </w:rPr>
            </w:pPr>
          </w:p>
        </w:tc>
      </w:tr>
    </w:tbl>
    <w:p w:rsidR="00565461" w:rsidRPr="001D0BF5" w:rsidRDefault="009A0D3D" w:rsidP="00565461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E7" w:rsidRDefault="003416E7" w:rsidP="00577ECF">
      <w:r>
        <w:separator/>
      </w:r>
    </w:p>
  </w:endnote>
  <w:endnote w:type="continuationSeparator" w:id="0">
    <w:p w:rsidR="003416E7" w:rsidRDefault="003416E7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E7" w:rsidRDefault="003416E7" w:rsidP="00577ECF">
      <w:r>
        <w:separator/>
      </w:r>
    </w:p>
  </w:footnote>
  <w:footnote w:type="continuationSeparator" w:id="0">
    <w:p w:rsidR="003416E7" w:rsidRDefault="003416E7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46DFD"/>
    <w:rsid w:val="0006061D"/>
    <w:rsid w:val="00065C8F"/>
    <w:rsid w:val="0009492B"/>
    <w:rsid w:val="000A3107"/>
    <w:rsid w:val="000A548F"/>
    <w:rsid w:val="000B4F6B"/>
    <w:rsid w:val="000B5B61"/>
    <w:rsid w:val="000C4BA4"/>
    <w:rsid w:val="00113507"/>
    <w:rsid w:val="00124E8A"/>
    <w:rsid w:val="00124F58"/>
    <w:rsid w:val="00133ABB"/>
    <w:rsid w:val="00135619"/>
    <w:rsid w:val="00140778"/>
    <w:rsid w:val="00146AC6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2C5E"/>
    <w:rsid w:val="003237D3"/>
    <w:rsid w:val="003416E7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0D80"/>
    <w:rsid w:val="00446816"/>
    <w:rsid w:val="00461685"/>
    <w:rsid w:val="00465087"/>
    <w:rsid w:val="00474457"/>
    <w:rsid w:val="004868A8"/>
    <w:rsid w:val="00487AD7"/>
    <w:rsid w:val="004921CE"/>
    <w:rsid w:val="004D4153"/>
    <w:rsid w:val="004D5480"/>
    <w:rsid w:val="004D62C4"/>
    <w:rsid w:val="004E283B"/>
    <w:rsid w:val="004E7885"/>
    <w:rsid w:val="005031D5"/>
    <w:rsid w:val="00511D50"/>
    <w:rsid w:val="00520B0A"/>
    <w:rsid w:val="00554FFA"/>
    <w:rsid w:val="00565461"/>
    <w:rsid w:val="00571DAA"/>
    <w:rsid w:val="00577467"/>
    <w:rsid w:val="00577ECF"/>
    <w:rsid w:val="005A2D6D"/>
    <w:rsid w:val="005B1A9C"/>
    <w:rsid w:val="005B52BE"/>
    <w:rsid w:val="005F49AB"/>
    <w:rsid w:val="0061590F"/>
    <w:rsid w:val="00643C4B"/>
    <w:rsid w:val="00656964"/>
    <w:rsid w:val="00663B60"/>
    <w:rsid w:val="00671ED2"/>
    <w:rsid w:val="00686943"/>
    <w:rsid w:val="006A13AE"/>
    <w:rsid w:val="006D3645"/>
    <w:rsid w:val="006F1849"/>
    <w:rsid w:val="006F49C1"/>
    <w:rsid w:val="00705456"/>
    <w:rsid w:val="00707583"/>
    <w:rsid w:val="0074127F"/>
    <w:rsid w:val="00784A11"/>
    <w:rsid w:val="00795F2D"/>
    <w:rsid w:val="007A19E1"/>
    <w:rsid w:val="007D4099"/>
    <w:rsid w:val="007E4B77"/>
    <w:rsid w:val="0081463B"/>
    <w:rsid w:val="008158EA"/>
    <w:rsid w:val="00823ACC"/>
    <w:rsid w:val="00825C1B"/>
    <w:rsid w:val="0084226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B276A"/>
    <w:rsid w:val="009C2014"/>
    <w:rsid w:val="009E73FA"/>
    <w:rsid w:val="00A16565"/>
    <w:rsid w:val="00A2132F"/>
    <w:rsid w:val="00A3078F"/>
    <w:rsid w:val="00A37564"/>
    <w:rsid w:val="00A54CA9"/>
    <w:rsid w:val="00A61B1F"/>
    <w:rsid w:val="00A626A8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0424"/>
    <w:rsid w:val="00B328AD"/>
    <w:rsid w:val="00B41900"/>
    <w:rsid w:val="00B74383"/>
    <w:rsid w:val="00B74CBA"/>
    <w:rsid w:val="00B85A72"/>
    <w:rsid w:val="00B970D8"/>
    <w:rsid w:val="00BA275D"/>
    <w:rsid w:val="00BE022B"/>
    <w:rsid w:val="00C040DE"/>
    <w:rsid w:val="00C46B87"/>
    <w:rsid w:val="00C73038"/>
    <w:rsid w:val="00C85828"/>
    <w:rsid w:val="00CB685A"/>
    <w:rsid w:val="00CE638F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5A09"/>
    <w:rsid w:val="00DC5CB8"/>
    <w:rsid w:val="00DC7BDC"/>
    <w:rsid w:val="00DF671F"/>
    <w:rsid w:val="00E025AD"/>
    <w:rsid w:val="00E06426"/>
    <w:rsid w:val="00E30BA9"/>
    <w:rsid w:val="00E43921"/>
    <w:rsid w:val="00E54B0F"/>
    <w:rsid w:val="00E5505D"/>
    <w:rsid w:val="00E718CC"/>
    <w:rsid w:val="00E85F6E"/>
    <w:rsid w:val="00E90402"/>
    <w:rsid w:val="00E9101A"/>
    <w:rsid w:val="00E953DB"/>
    <w:rsid w:val="00EA259D"/>
    <w:rsid w:val="00EB20C0"/>
    <w:rsid w:val="00EC1070"/>
    <w:rsid w:val="00ED2940"/>
    <w:rsid w:val="00ED30B5"/>
    <w:rsid w:val="00F262EB"/>
    <w:rsid w:val="00F46C0A"/>
    <w:rsid w:val="00F64ACE"/>
    <w:rsid w:val="00F746B7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AB4AA-08AD-4F24-99D0-A2671284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paragraph" w:customStyle="1" w:styleId="Default">
    <w:name w:val="Default"/>
    <w:rsid w:val="005B1A9C"/>
    <w:pPr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Huang Dan</cp:lastModifiedBy>
  <cp:revision>2</cp:revision>
  <cp:lastPrinted>2014-04-28T01:34:00Z</cp:lastPrinted>
  <dcterms:created xsi:type="dcterms:W3CDTF">2018-05-23T05:17:00Z</dcterms:created>
  <dcterms:modified xsi:type="dcterms:W3CDTF">2018-05-23T05:17:00Z</dcterms:modified>
</cp:coreProperties>
</file>